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091BA561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6100A4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6292B392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0457014A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AB126E" w:rsidRPr="00AB126E">
        <w:rPr>
          <w:rFonts w:asciiTheme="minorHAnsi" w:hAnsiTheme="minorHAnsi" w:cs="Calibri,Bold"/>
          <w:sz w:val="22"/>
          <w:szCs w:val="22"/>
        </w:rPr>
        <w:t>1.6 “Rafforzamento della resilienza delle comunità locali e riattivazione dei sistemi produttivi”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A74ABB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3" ma:contentTypeDescription="Creare un nuovo documento." ma:contentTypeScope="" ma:versionID="568870e2d5fdc40d174c37facdae3e8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46d97aef39fa585611de001b4cdeeae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FD370-F89C-4DC9-AB2E-A357066B71F0}"/>
</file>

<file path=customXml/itemProps4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Federica Vuerich - Open Leader S.C.Ar.L.</cp:lastModifiedBy>
  <cp:revision>10</cp:revision>
  <cp:lastPrinted>2017-07-19T12:51:00Z</cp:lastPrinted>
  <dcterms:created xsi:type="dcterms:W3CDTF">2021-09-06T14:22:00Z</dcterms:created>
  <dcterms:modified xsi:type="dcterms:W3CDTF">2021-11-17T09:22:00Z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